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210 vom 1. April 2020</w:t>
      </w:r>
    </w:p>
    <w:p>
      <w:r>
        <w:t>FR Kantonsgericht, 2020-04-01, FR</w:t>
      </w:r>
    </w:p>
    <w:p>
      <w:r>
        <w:rPr>
          <w:b/>
        </w:rPr>
        <w:t xml:space="preserve">Quelle: </w:t>
      </w:r>
      <w:r>
        <w:t>https://mcp.opencaselaw.ch/entscheid/fr_gerichte_101 2019 210</w:t>
      </w:r>
    </w:p>
    <w:p>
      <w:r>
        <w:t>FR: FR_GERICHTE 101 2019 210 du 1 avril 2020</w:t>
      </w:r>
    </w:p>
    <w:p>
      <w:r>
        <w:t>IT: FR_GERICHTE 101 2019 210 del 1 aprile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w:t>
      </w:r>
    </w:p>
    <w:p>
      <w:r>
        <w:t>Tribunal cantonal TC Page 3 de 11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15 juillet 2019. Déposé le 25 juillet 2019, l'appel a dès lors été interjeté en temps utile. Le mémoire d'appel est, de plus, dûment motivé et doté de conclusions. En outre, vu les pensions requises et contestées en première instance, la valeur litigieuse est manifestement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De manière générale, à teneur de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eu égard à la récente jurisprudence du Tribunal fédéral (ATF 144 III 349), lorsque le procès est soumis à la maxime inquisitoire illimitée (art. 296 al. CPC), il convient de considérer que l'application stricte de l'art. 317 al. 1 CPC n'est pas justifiée. Dans cette mesure, les parties peuvent présenter des nova en appel même si les conditions de l'art. 317 al. 1 CPC ne sont pas réunies.</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2.1</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w:t>
      </w:r>
    </w:p>
    <w:p>
      <w:r>
        <w:t>Tribunal cantonal TC Page 4 de 11 importants (arrêt TF 5A_287/2013 du 5 août 2013 consid. 2). Une réglementation différente doit donc être commandée par des faits nouveaux, importants et durables: la procédure de modification n'a en effet pas pour but de corriger le premier jugement,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w:t>
      </w:r>
    </w:p>
    <w:p>
      <w:r>
        <w:rPr>
          <w:b/>
        </w:rPr>
        <w:t>E. 2.2</w:t>
      </w:r>
    </w:p>
    <w:p>
      <w:r>
        <w:t>En l'espèce, la décision querellée ne fait pas état des conditions préalablement requises à la modification d'une précédente décision. Cela étant, nul ne conteste que depuis le prononcé du 22 juin 2018, la situation a changé, à savoir que C.________, au préalable soumis à une garde alternée, est désormais confié à sa mère pour sa garde exclusive. Partant, il convient d'en prendre acte et d'examiner les conséquences en résultant en établissant la situation financière actuelle des parties.</w:t>
      </w:r>
    </w:p>
    <w:p>
      <w:r>
        <w:rPr>
          <w:b/>
        </w:rPr>
        <w:t>E. 2.3</w:t>
      </w:r>
    </w:p>
    <w:p>
      <w:r>
        <w:t>En appel, A.________ conclut à ce que les contributions dues à ses enfants soient réduites à CHF 475.- pour C.________ et CHF 100.- pour D.________ dès le 1er février 2019, sans distinction de périodes. Quant à la pension due à l'épouse, il requiert qu'elle soit supprimée à compter du 1er août 2019. Il remet en question le refus du premier juge d'imputer à son épouse un revenu hypothétique supérieur, la non-réduction des Tabelles zurichoises, le calcul erroné de ses propres revenus et la prise en compte dans les charges des parties de postes non admissibles.</w:t>
      </w:r>
    </w:p>
    <w:p>
      <w:r>
        <w:rPr>
          <w:b/>
        </w:rPr>
        <w:t>E. 2.4.1</w:t>
      </w:r>
    </w:p>
    <w:p>
      <w:r>
        <w:t>S'agissant de l'épouse, le Président a retenu que B.________ travaillait en qualité de décoratrice à un taux de 70%, son salaire mensuel net s'élevant à CHF 2'796.90, part au 13ème salaire, heures supplémentaires et travail du dimanche compris. Jusqu'au mois de juillet 2019 s'ajoutait à ce revenu une indemnité journalière de chômage, soit un montant de CHF 1'243.70 net par mois. Alors que le mari considérait que son épouse était en mesure d'augmenter son taux d'activité, le premier juge a décidé de laisser la question ouverte dans le cadre des mesures provisionnelles (décision attaquée, p. 6).</w:t>
      </w:r>
    </w:p>
    <w:p>
      <w:r>
        <w:rPr>
          <w:b/>
        </w:rPr>
        <w:t>E. 2.4.2</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(ATF 143 III 233 consid. 3.2 et 137 III 118 consid. 2.3).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Enfin, en matière de fixation de contributions d'entretien, le magistrat dispose d'un large pouvoir d'appréciation (ATF 138 III 289 consid. 11.1.1).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w:t>
      </w:r>
    </w:p>
    <w:p>
      <w:r>
        <w:t>Tribunal cantonal TC Page 5 de 11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w:t>
      </w:r>
    </w:p>
    <w:p>
      <w:r>
        <w:rPr>
          <w:b/>
        </w:rPr>
        <w:t>E. 2.4.3</w:t>
      </w:r>
    </w:p>
    <w:p>
      <w:r>
        <w:t>En l'espèce, il faut concéder à l'appelant que le premier juge aurait dû examiner la question du revenu hypothétique, pour la réalisation duquel un délai d'adaptation aurait cependant dû être accordé à l'épouse. Cela étant, il ne saurait être fait abstraction du fait que cette dernière assume la garde non seulement de C.________ (14 ans), mais également de D.________ (10 ans), sous forme alternée pour ce dernier, et travaille déjà à un taux de 70%, proche du taux de 80% exigé par la jurisprudence lorsque le cadet des enfants entre à l'école secondaire. De plus, elle a indiqué n'avoir aucune perspective concrète d'augmenter son taux d'occupation professionnelle (DO/18). Dans ces conditions, il ne peut être exigé d'elle, à tout le moins au stade des mesures provisionnelles, qu'elle réalise un revenu hypothétique supérieur. Le grief de l'appelant tombe à faux.</w:t>
      </w:r>
    </w:p>
    <w:p>
      <w:r>
        <w:rPr>
          <w:b/>
        </w:rPr>
        <w:t>E. 2.4.4</w:t>
      </w:r>
    </w:p>
    <w:p>
      <w:r>
        <w:t>Il sera en revanche examiné plus loin (cf. infra consid. 2.8.1), lors de la détermination du coût des enfants, dans quelle mesure le déficit auquel doit faire face l'épouse à compter du</w:t>
      </w:r>
    </w:p>
    <w:p>
      <w:r>
        <w:t>Tribunal cantonal TC Page 6 de 11 1er août 2019 doit y être inclus, compte tenu des développements qui viennent d'être exposés (cf. supra consid. 2.4.2).</w:t>
      </w:r>
    </w:p>
    <w:p>
      <w:r>
        <w:rPr>
          <w:b/>
        </w:rPr>
        <w:t>E. 2.5.1</w:t>
      </w:r>
    </w:p>
    <w:p>
      <w:r>
        <w:t>Dans un second grief, A.________ reproche au Président du Tribunal d'avoir tenu compte, pour calculer son revenu d'indépendant, de l'année 2018, année exceptionnelle qui ne reflète par la réalité. Le premier juge a en effet retenu que l'appelant, entrepreneur indépendant, avait réalisé un bénéfice annuel moyen sur les trois dernières années (2016 à 2018) de CHF 71'223.-, soit un revenu mensuel net moyen de CHF 5'935.25 (décision attaquée, p. 7).</w:t>
      </w:r>
    </w:p>
    <w:p>
      <w:r>
        <w:rPr>
          <w:b/>
        </w:rPr>
        <w:t>E. 2.5.2</w:t>
      </w:r>
    </w:p>
    <w:p>
      <w:r>
        <w:t>De jurisprudence constante,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sont incertaines, plus la période de comparaison doit être longue (arrêts TF 5A_24/2018 du 21 septembre 2018 consid. 4.1 et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 TF 5A_127/2016 du 18 mai 2016 consid. 5.2).</w:t>
      </w:r>
    </w:p>
    <w:p>
      <w:r>
        <w:rPr>
          <w:b/>
        </w:rPr>
        <w:t>E. 2.5.3</w:t>
      </w:r>
    </w:p>
    <w:p>
      <w:r>
        <w:t>En l'espèce, il ressort des pièces au dossier que les fluctuations d'une année à l'autre peuvent être importantes, d'où la prise en considération d'une plus longue période. Il n'est pas contesté que le bénéfice net du mari s'est élevé à CHF 65'692.20 en 2016 (cf. décision MPUC du 22 juin 2018, p. 7 [bordereau du 26 février 2019, pièce no 3]), CHF 60'532.64 en 2017 et CHF 87'444.19 en 2018 (cf. décision attaquée, p. 7). En dépit de son caractère exceptionnel, l'année 2018 doit être prise en compte, de même que, à l'inverse, l'année 2019, qui a vu le bénéfice net de A.________ chuter drastiquement, pour atteindre CHF 42'245.50 (cf. comptabilité produite le 6 mars 2020). Dans ces conditions, il s'impose de prendre en compte le revenu annuel moyen sur les 4 dernières années, soit CHF 63'978.-, ce qui représente CHF 5'331.- par mois. Le grief de l'appelant est en partie bien fondé.</w:t>
      </w:r>
    </w:p>
    <w:p>
      <w:r>
        <w:rPr>
          <w:b/>
        </w:rPr>
        <w:t>E. 2.6.1</w:t>
      </w:r>
    </w:p>
    <w:p>
      <w:r>
        <w:t>Au chapitre des charges des parties, l'on relèvera ce qui suit: certes, la prime d'assurance- RC et ménage est en principe comprise dans le montant mensuel de base (arrêt TC FR 101 2018 379 du 29 avril 2019 consid. 3.3.1; DE WECK-IMMELÉ, in Commentaire pratique, Droit matrimonial, 2016, art. 176 CC n. 89). Cela étant, ce poste – au surplus minime – a également été retenu dans les charges du mari, de sorte que la renonciation à celui-ci dans les charges de chacun des époux aboutirait à une opération blanche. En première instance, le mari avait d'ailleurs allégué une telle charge en ce qui le concerne et admis le montant invoqué à ce titre par son épouse (DO/45 et 48). Ce grief est mal fondé.</w:t>
      </w:r>
    </w:p>
    <w:p>
      <w:r>
        <w:rPr>
          <w:b/>
        </w:rPr>
        <w:t>E. 2.6.2</w:t>
      </w:r>
    </w:p>
    <w:p>
      <w:r>
        <w:t>Un sort identique sera donné à la critique de l'appelant relative aux autres dépenses par CHF 300.-, un tel poste étant retenu chez les deux parties, d'où une opération blanche, et</w:t>
      </w:r>
    </w:p>
    <w:p>
      <w:r>
        <w:t>Tribunal cantonal TC Page 7 de 11 l'appelant n'alléguant pas ce qui justifierait davantage la prise en compte d'un tel montant chez lui et non chez son épouse.</w:t>
      </w:r>
    </w:p>
    <w:p>
      <w:r>
        <w:rPr>
          <w:b/>
        </w:rPr>
        <w:t>E. 2.6.3</w:t>
      </w:r>
    </w:p>
    <w:p>
      <w:r>
        <w:t>Quant au leasing de l'épouse, son montant paraît certes élevé, compte tenu de sa situation financière. Selon la jurisprudence, lorsqu'il est strictement indispensable de posséder un véhicule pour se rendre au travail, la mensualité de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En l'espèce, l'épouse a conclu un contrat de leasing portant sur un véhicule Audi Q3 Turbo d'occasion, d'une valeur de CHF 28'000.- (cf. décision de mesures protectrices de l'union conjugale du 22 juin 2018, p. 7 [bordereau du 26 février 2019, pièce no 3]) pour un montant de CHF 466.10. Cela étant, sont comptabilisés dans les charges du mari non seulement son leasing de CHF 245.45 pour le véhicule VW Touran qu'il utilise à des fins privées, mais également les frais y relatifs par CHF 150.- par mois, alors que ledit véhicule est utilisé au seul plan privé (détermination du mari du 22 mars 2019 [DO/48]). A cela s'ajoute que les frais de déplacements professionnels, qui pourraient être fixés, selon la méthode de calcul usuellement appliquée par la Cour, à CHF 350.- arrondis (CHF 100 km aller-retour [E.________ - F.________] x 4 jours x 48 semaines / 12 mois x 0.08 lit./km x CHF 1.60 + CHF 150.- [forfait augmenté, la conclusion d'une assurance casco complète étant obligatoire en cas de leasing] pour les frais d'entretien, d'impôt et d'assurance; RFJ 2005 313 ss; cf. ég. arrêt TF 2A.538/2002 du</w:t>
      </w:r>
    </w:p>
    <w:p>
      <w:r>
        <w:rPr>
          <w:b/>
        </w:rPr>
        <w:t>E. 2.7.1</w:t>
      </w:r>
    </w:p>
    <w:p>
      <w:r>
        <w:t>L'appelant reproche au Président du Tribunal de n'avoir pas réduit le coût d'entretien des enfants de 25%, alors que pour justifier sa décision, le premier juge a retenu que les revenus totaux des parties étaient supérieurs à leurs charges totales augmentées de 20% (décision attaquée, p. 8).</w:t>
      </w:r>
    </w:p>
    <w:p>
      <w:r>
        <w:rPr>
          <w:b/>
        </w:rPr>
        <w:t>E. 2.7.2</w:t>
      </w:r>
    </w:p>
    <w:p>
      <w:r>
        <w:t>Les besoins d'entretien statistiques moyens retenus dans les "Recommandations pour la fixation des contributions d'entretien des enfants" éditées par l'Office de la jeunesse du canton de Zurich peuvent servir de point de départ pour la détermination des besoins d'un enfant dans un cas concret. Il y a toutefois lieu de les affiner en tenant compte, conformément à l'art. 285 al. 1 aCC, des besoins concrets particuliers de l'enfant, ainsi que du niveau de vie et de la capacité contributive des parents (pour le tout: arrêts TF 5A_61/2015 du 20 mai 2015 consid. 3.2.1.1 et 5A_100/2012 du 30 août 2012 consid. 6.1 et les références citées; cf. ég. DE PORET BORTOLASO, in SJ 2016 II 141 [152 s.]). Selon le Tribunal fédéral, une réduction forfaitaire abstraite des Tabelles zurichoises ne se justifie pas, le coût d'entretien déterminé par celles-ci, en dépit de leur dénomination, correspondant à une moyenne suisse (arrêt TF 5A_100/2012 du 30 août 2012 consid. 6.2). Ces tabelles sont le reflet d'une famille disposant de revenus nets de CHF 8'000.-, ce qui correspond à la réalité économique du cas d'espèce (revenus nets de CHF 5'331.- pour lui et de CHF 2'797.- pour elle, voire davantage pour la période avant le 1er août 2019; www.ajb.zh.ch, rubrique Beratung rund um Familie &amp; Kinder/Vaterschaft, Unterhalt/Durchschnittlicher Unterhaltsbedarf; cf. arrêt TC FR 101 2019 81 du 21 janvier 2020 consid. 4.1). Ainsi, c'est à juste titre que le Président du Tribunal n'a pas réduit les montants. Ce constat se justifie d'autant plus</w:t>
      </w:r>
    </w:p>
    <w:p>
      <w:r>
        <w:t>Tribunal cantonal TC Page 8 de 11 que l'époux n'a pas allégué, en première instance ou en appel, que les frais de logement ou autres postes de l'entretien des enfants (nourriture et habillement notamment) seraient inférieurs dans le cas d'espèce à ceux retenus comme moyenne nationale pour établir les Tabelles zurichoises (arrêt TF 5A_100/2012 du 30 août 2012 consid. 6.2). En outre, il faut rappeler qu'en matière de fixation de contributions d'entretien, le juge dispose d'un large pouvoir d'appréciation (ATF 138 III 289 consid. 11.1.1 et les références citées).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130 III 571 consid. 4.3; 128 III 161 consid. 2c/aa). Enfin, l'on soulignera qu'il est de la responsabilité première des parents de s'entendre et de fixer des contributions raisonnables en faveur de leurs enfants. La critique de l'appelant tombe à faux.</w:t>
      </w:r>
    </w:p>
    <w:p>
      <w:r>
        <w:rPr>
          <w:b/>
        </w:rPr>
        <w:t>E. 2.8.1</w:t>
      </w:r>
    </w:p>
    <w:p>
      <w:r>
        <w:t>Au vu de ce qui précède, les coûts directs des enfants tels que calculés par le premier juge, en tant qu'ils ne sont pas contestés pour le surplus, peuvent dès lors être confirmés, ne prêtant pas le flanc à la critique. Ils s'élèvent à CHF 1'075.- pour C.________ et à CHF 995.- pour D.________, allocations familiales déduites. Pour la période courant jusqu'au 31 juillet 2019, la mère ne fait face à aucun déficit, de sorte qu'aucune contribution de prise en charge ne doit y être ajoutée à titre de coûts indirects. Les montants précités consistent dès lors en l'entretien convenable des enfants (cf. art. 301a CPC). Reste à déterminer si, à compter du 1er août 2019, l'intimée aurait pu être astreinte à travailler davantage qu'à son taux de 70%, question à laquelle il s'impose de répondre par la négative, à suivre la jurisprudence précitée (cf. supra consid. 2.4.2). Partant, pour cette période, compte tenu du sort réservé aux griefs du père quant aux charges de la mère et du déficit de cette dernière maintenu à CHF 298.-, les coûts d'entretien des enfants seront également confirmés, sauf à imputer la contribution de prise en charge au plus jeune des enfants (arrêt TC FR 101 2018 162 du 26 mars 2019 consid. 3.3 et les références citées). Partant, l'entretien convenable (art. 301a CPC) de C.________ reste fixé à CHF 1'075.-, tandis que celui de D.________ est porté à CHF 1'293.- (CHF 995.- + CHF 298.-).</w:t>
      </w:r>
    </w:p>
    <w:p>
      <w:r>
        <w:rPr>
          <w:b/>
        </w:rPr>
        <w:t>E. 2.8.2</w:t>
      </w:r>
    </w:p>
    <w:p>
      <w:r>
        <w:t>Compte tenu des disponibles respectifs des parents, celui du père étant quelque peu inférieur à celui retenu dans la décision attaquée (CHF 5'331.- - CHF 850.- [MV] - CHF 1'160.- [loyer] - CHF 290.- [AM] - CHF 103.- [3ème pilier] - CHF 24.- [RC/ménage] - CHF 150.- [frais de transport] - CHF 300.- [autres dépenses] = CHF 2'454.-), il appartiendrait à celui-ci de supporter les 72% des coûts des enfants (CHF 2'454.- [disponible père] x 100 / CHF 3'401.- [CHF 2'454.- + 947.-, soit la somme des disponibles]). Pour C.________, la pension devrait dès lors être fixée à CHF 774.- (CHF 1'075.- x 72%), arrondis à CHF 780.-. Quant à D.________, il faut tenir compte des frais que A.________ assume directement envers celui-ci, eu égard à la garde alternée mise en place. Fixés à CHF 430.- par le premier juge, ils ne sont contestés en appel qu'en lien avec la réduction de 25% des Tabelles zurichoises, grief précédemment écarté. Partant, la pension due à D.________ devrait s'élever à un montant arrondi de CHF 300.- (CHF 995.- x 72% = CHF 716.- - CHF 430.- = CHF 286.-). Ces montants étant quasi similaires à ceux prononcés par le premier juge et dus pour une période révolue de seulement 6 mois, ils seront confirmés. En revanche, à compter du 1er août 2019, compte tenu du déficit de la mère, laquelle remplit son obligation d'entretien à l'égard des enfants essentiellement en nature, il appartient au père seul d'assumer le coût d'entretien des deux enfants (STOUDMANN, La répartition des coûts directs de</w:t>
      </w:r>
    </w:p>
    <w:p>
      <w:r>
        <w:t>Tribunal cantonal TC Page 9 de 11 l'enfant en cas de garde exclusive, in RMA 2018 p. 257-259). La pension due à C.________ sera fixée à CHF 1'075.-, tandis que celle due à D.________ sera portée à CHF 860.- (CHF 565.- [montant retenu dans la décision attaquée à titre de coûts assumés par la mère et non contestés autrement + CHF 298.- [contribution de prise en charge] = CHF 863.-). Au total, ces montants atteignent la même somme que ceux précédemment fixés, la seule différence ayant trait au fait que la contribution de prise en charge a été imputée au plus jeune des enfants (cf. supra consid. 2.8.1).</w:t>
      </w:r>
    </w:p>
    <w:p>
      <w:r>
        <w:rPr>
          <w:b/>
        </w:rPr>
        <w:t>E. 2.8.3</w:t>
      </w:r>
    </w:p>
    <w:p>
      <w:r>
        <w:t>Au vu de ce qui précède, force est de constater que l'intégralité du coût de l'entretien convenable des enfants est couverte (art. 301a CPC).</w:t>
      </w:r>
    </w:p>
    <w:p>
      <w:r>
        <w:rPr>
          <w:b/>
        </w:rPr>
        <w:t>E. 2.9.1</w:t>
      </w:r>
    </w:p>
    <w:p>
      <w:r>
        <w:t>S'agissant de la contribution due à l'épouse,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entre les époux (ATF 140 III 337 consid. 4.2.2). Celui-ci est, en règle générale, partagé par moitié entre eux, à moins que l'un des époux ne doive subvenir aux besoins d'enfants mineurs communs ou que des circonstances importantes ne justifient de s'écarter de cette clé de répartition; de telles circonstances sont données, par exemple, lorsque les revenus d'un époux augmentent sensiblement peu après la séparation, de sorte que la prise en compte de l'entier de ce nouveau revenu dans le cadre du calcul du disponible à répartir permettrait à l'autre conjoint d'augmenter son niveau de vie (arrêt TF 5A_861/2014 du 21 avril 2015 consid. 5 et 6). Là aussi les tribunaux jouissent d'un large pouvoir d'appréciation (arrêt TF 5A_880/2018 du 5 avril 2019 consid. 6.3). Lorsque l'autorité cantonale de recours dispose d'une cognition pleine et entière, en fait comme en droit, comme c'est le cas en appel (art. 310 CPC), elle peut examiner librement l'ensemble de la matière du procès de première instance (faits et application du droit), ce qui comprend aussi l'exercice du pouvoir d'appréciation (au sens de l'appréciation des conséquences juridiques) par le premier juge (arrêt TF 5A_184/2013 du 26 avril 2013 consid. 3.1). Selon la jurisprudence, lorsqu'une décision relève du pouvoir d'appréciation du juge (art. 4 CC), l'instance cantonale n'en revoit l'exercice qu'avec retenue (ainsi arrêt TF 5A_140/2019 du 5 juillet 2019 consid. 5.1.3 concernant la répartition des frais judiciaires). La question de savoir si, en procédure de mesures protectrices de l'union conjugale et de mesures provisionnelles notamment, une telle restriction analogue à celle du Tribunal fédéral en procédure de recours se justifie n'a pas été résolue (arrêt TF 5A_198/2012 du 24 août 2012 consid. 4.2). Cela étant, selon sa pratique, la Cour de céans ne substitue alors qu'avec retenue son appréciation à celle du premier juge.</w:t>
      </w:r>
    </w:p>
    <w:p>
      <w:r>
        <w:rPr>
          <w:b/>
        </w:rPr>
        <w:t>E. 2.9.2</w:t>
      </w:r>
    </w:p>
    <w:p>
      <w:r>
        <w:t>En l'espèce, l'appelant remet en question le principe même du versement d'une contribution d'entretien à l'intimée. En vain. Nul n'a allégué que, du temps de la vie commune, les époux auraient constitué des économies importantes, de sorte que la méthode du minimum vital avec répartition de l'excédent choisie par le Président du Tribunal doit ainsi être confirmée. Par ailleurs, à compter du 1er août 2019, l'épouse subit un déficit. Partant, rien ne justifie de s'écarter d'un partage de l'excédent par moitié. Une fois les pensions fixées en faveur des enfants acquittées, l'appelant dispose encore d'un montant de CHF 519.- (CHF 2'454.- - CHF 1'075.- -</w:t>
      </w:r>
    </w:p>
    <w:p>
      <w:r>
        <w:t>Tribunal cantonal TC Page 10 de 11 CHF 860.-), au moyen duquel il doit d'abord combler le déficit de son épouse, de sorte qu'il est à même de verser à celle-ci une contribution d'entretien arrondie à CHF 400.- (CHF 519.- CHF 298.- = CHF 221.- / 2 = CHF 110.50 + CHF 298.- = CHF 408.50). 3. Il s'ensuit l'admission très partielle de l'appel, le montant global des contributions en faveur des enfants étant réparti différemment et seule la pension due à l'épouse étant en définitive légèrement réduite, afin de respecter le minimum vital de l'appelant. 4. 4.1.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l'appel est certes partiellement admis, mais, mathématiquement, sur la seule question de la pension due à l'épouse, qui passe de CHF 500.- à CHF 400.- par mois dès le 1er août 2019. Dans ces conditions, il faut retenir que l'appelant perd bien plus largement que l'intimée, ce qui justifie de mettre à sa charge l'intégralité des frais d'appel, sous réserve de l'assistance judiciaire qui lui a été octroyée. 4.3. Les frais judiciaires comprennent notamment l'émolument forfaitaire de décision (art. 95 al. 2 let. b CPC), qui sera arrêté à CHF 1'200.-. 4.4.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1'500.-, débours compris, plus la TVA par CHF 115.50 (7.7% de 1'500.-). (dispositif en page suivante)</w:t>
      </w:r>
    </w:p>
    <w:p>
      <w:r>
        <w:t>Tribunal cantonal TC Page 11 de 11 la Cour arrête : I. L'appel est partiellement admis. Partant, les chiffres VI et VIII du dispositif de la décision de mesures provisionnelles prononcée le 12 juillet 2019 par le Président du Tribunal civil de la Veveyse sont modifiés comme suit: " VI. Pour le reste, A.________ contribuera à l'entretien de ses enfants par le versement, en mains de B.________, des pensions mensuelles suivantes: - du 1er février 2019 au 31 juillet 2019, CHF 800.- pour C.________ et CHF 315.- pour D.________ [inchangé]: - dès le 1er août 2019, CHF 1'075.- pour C.________ et CHF 760.- pour D.________. Les allocations familiales sont payables en sus. VIII. Dès le 1er août 2019, la pension de CHF 50.- due pour B.________ par A.________ sera portée à CHF 400.- par mois. " Pour le surplus, le reste de ce dispositif est confirmé. II. Les frais d'appel sont mis à la charge de A.________, sous réserve de l'assistance judiciaire. Ils comprennent notamment les frais judiciaires dus à l'Etat, fixés à CHF 1'200.-. III. Les dépens d'appel de B.________ sont fixés globalement à la somme de CHF 1'500.-, débours compris, plus la TVA à hauteur de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avril 2020/sze Le Président : La Greffière-rapporteure :</w:t>
      </w:r>
    </w:p>
    <w:p>
      <w:r>
        <w:rPr>
          <w:b/>
        </w:rPr>
        <w:t>E. 6</w:t>
      </w:r>
    </w:p>
    <w:p>
      <w:r>
        <w:t>février 2003 consid. 2.2; arrêts TC FR 101 2018 251 du 3 juin 2019 consid. 3.3.4 et 101 2015 227 du 12 janvier 2016 consid. 3b]), n'ont été retenus qu'à concurrence de CHF 270.-, montant admis en procédure de mesures protectrices, pour précisément tenir compte du choix peu judicieux de l'épouse de conclure un contrat de leasing pour un montant si élevé (décision attaquée, p. 7). Ce raisonnement ne prête pas le flanc à la critique. Partant, le grief de l'appelant tombe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